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B937">
      <w:pPr>
        <w:spacing w:line="70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 w14:paraId="6F69830C">
      <w:pPr>
        <w:pStyle w:val="13"/>
        <w:ind w:firstLine="21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4"/>
          <w:szCs w:val="44"/>
          <w:lang w:val="en-US" w:eastAsia="zh-CN"/>
        </w:rPr>
        <w:t>综保区一期标准化厂房鸿瑞科技公司临时用电整改项目</w:t>
      </w:r>
    </w:p>
    <w:p w14:paraId="2FB4A40D">
      <w:pPr>
        <w:pStyle w:val="13"/>
        <w:ind w:firstLine="210"/>
        <w:rPr>
          <w:rFonts w:hint="eastAsia" w:ascii="仿宋_GB2312" w:hAnsi="仿宋_GB2312" w:eastAsia="仿宋_GB2312" w:cs="仿宋_GB2312"/>
          <w:color w:val="FF0000"/>
        </w:rPr>
      </w:pPr>
    </w:p>
    <w:p w14:paraId="5C069A16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61ABCE8B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3722F3FC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5C849C38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6F6B06AB">
      <w:pPr>
        <w:jc w:val="center"/>
        <w:rPr>
          <w:rFonts w:hint="eastAsia"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　 文   件</w:t>
      </w:r>
    </w:p>
    <w:p w14:paraId="56147A8B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5CB45E32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7A13A2DB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3D76F6D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FFCDF0A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6F90FB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2539CB4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5AC2EA62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B767E86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E99CF8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A6C9D8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DCDDB67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岳阳邦盛实业有限公司</w:t>
      </w:r>
    </w:p>
    <w:p w14:paraId="3CD2122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0BEA36D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月</w:t>
      </w:r>
    </w:p>
    <w:p w14:paraId="5599BF5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</w:p>
    <w:p w14:paraId="12507034">
      <w:pPr>
        <w:jc w:val="both"/>
        <w:rPr>
          <w:rFonts w:hint="eastAsia" w:ascii="仿宋_GB2312" w:hAnsi="仿宋_GB2312" w:eastAsia="仿宋_GB2312" w:cs="仿宋_GB2312"/>
          <w:sz w:val="36"/>
          <w:szCs w:val="32"/>
        </w:rPr>
      </w:pPr>
    </w:p>
    <w:p w14:paraId="277BE466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公告</w:t>
      </w:r>
    </w:p>
    <w:p w14:paraId="285AD1F1">
      <w:pPr>
        <w:pStyle w:val="13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67B17C1A">
      <w:pPr>
        <w:pStyle w:val="13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金额在国家规定公开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限额以下，由我司依法依规自行组织，采用简易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方式确定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单位。</w:t>
      </w:r>
    </w:p>
    <w:p w14:paraId="2952E038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概况</w:t>
      </w:r>
    </w:p>
    <w:p w14:paraId="0A997F3D">
      <w:pPr>
        <w:pStyle w:val="1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综保区一期标准化厂房鸿瑞科技公司临时用电整改项目；</w:t>
      </w:r>
    </w:p>
    <w:p w14:paraId="313AF6F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地点：湖南城陵矶新港区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综合保税区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C50B0C2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鸿瑞科技公司临时用电整改；</w:t>
      </w:r>
    </w:p>
    <w:p w14:paraId="20B86D3C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范围：详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0957C1B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要求：符合国家颁布的验收规范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5632752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资格要求</w:t>
      </w:r>
    </w:p>
    <w:p w14:paraId="3E509329">
      <w:pPr>
        <w:pStyle w:val="7"/>
        <w:numPr>
          <w:ilvl w:val="0"/>
          <w:numId w:val="3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具有独立法人资格并依法取得企业营业执照，营业执照处于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效期；</w:t>
      </w:r>
    </w:p>
    <w:p w14:paraId="44F480FB">
      <w:pPr>
        <w:pStyle w:val="7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2、比选人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需一年内做过三个类似的电力维修项目。</w:t>
      </w:r>
    </w:p>
    <w:p w14:paraId="498D765D">
      <w:pPr>
        <w:pStyle w:val="7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3、无不良信用记录，提供在“信用中国”的查询复印件加盖公章。</w:t>
      </w:r>
    </w:p>
    <w:p w14:paraId="788A4DC9">
      <w:pPr>
        <w:pStyle w:val="7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（信用中国网址：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instrText xml:space="preserve"> HYPERLINK "https://www.creditchina.gov.cn/?navPage=0）" </w:instrTex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https://www.creditchina.gov.cn/?navPage=0）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end"/>
      </w:r>
    </w:p>
    <w:p w14:paraId="2E63E194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1F064906">
      <w:pPr>
        <w:pStyle w:val="7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392E52AC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办法</w:t>
      </w:r>
    </w:p>
    <w:p w14:paraId="64B6BC73">
      <w:pPr>
        <w:pStyle w:val="7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我司按照公开、公平、公正原则，组织相关业务部门、监督部门，对各报名单位报送的材料进行评选.评审将采用综合评分法，统筹考虑报名单位在行业内地位影响、工作方案、收费标准等因素。</w:t>
      </w:r>
    </w:p>
    <w:p w14:paraId="4DFF5FAF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文件获取</w:t>
      </w:r>
    </w:p>
    <w:p w14:paraId="14BDA8DA"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官网（http://www.yueyangbangsheng.com/）下载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A98D285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文件递交</w:t>
      </w:r>
    </w:p>
    <w:p w14:paraId="0680A56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文件须包含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营业执照、“信用中国”的查询报告、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清单（以上复印件须加盖公章），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时间为202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地点为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（湖南省岳阳城陵矶综合保税区虎形路以南岳-A-04厂房101号，联系人：李先生：15652897199）；</w:t>
      </w:r>
    </w:p>
    <w:p w14:paraId="2B77B68C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00A3B4D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官网（http://www.yueyangbangsheng.com/）发布。</w:t>
      </w:r>
    </w:p>
    <w:p w14:paraId="7AF7B2EA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比选小组</w:t>
      </w:r>
    </w:p>
    <w:p w14:paraId="220E18D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本次比选比选小组成员：在比选开始前1天，由我司比选领导小组审定。</w:t>
      </w:r>
    </w:p>
    <w:p w14:paraId="1641323E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1A0C2F60">
      <w:pPr>
        <w:pStyle w:val="7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单位须遵守我司相关管理制度，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后一周内与我公司签订合同，如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人违反我公司相关规定，将列入黑名单，5年内不允许再参与本司业务，并按我司制度进行相应处罚。</w:t>
      </w:r>
    </w:p>
    <w:p w14:paraId="67092BFD">
      <w:pPr>
        <w:pStyle w:val="7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0A38FAFB">
      <w:pPr>
        <w:pStyle w:val="7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人： 岳阳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4A28BB9A">
      <w:pPr>
        <w:pStyle w:val="7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391CC53D">
      <w:pPr>
        <w:pStyle w:val="7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李先生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15652897199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4200A701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Toc6728"/>
      <w:bookmarkStart w:id="1" w:name="_Toc1533"/>
      <w:bookmarkStart w:id="2" w:name="_Toc5650"/>
    </w:p>
    <w:p w14:paraId="047D923B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第二章 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须知</w:t>
      </w:r>
      <w:bookmarkEnd w:id="0"/>
      <w:bookmarkEnd w:id="1"/>
      <w:bookmarkEnd w:id="2"/>
    </w:p>
    <w:tbl>
      <w:tblPr>
        <w:tblStyle w:val="14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0"/>
        <w:gridCol w:w="6096"/>
      </w:tblGrid>
      <w:tr w14:paraId="1F82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1065" w:type="dxa"/>
            <w:noWrap/>
            <w:vAlign w:val="center"/>
          </w:tcPr>
          <w:p w14:paraId="4BFF8D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条款号</w:t>
            </w:r>
          </w:p>
        </w:tc>
        <w:tc>
          <w:tcPr>
            <w:tcW w:w="1770" w:type="dxa"/>
            <w:noWrap/>
            <w:vAlign w:val="center"/>
          </w:tcPr>
          <w:p w14:paraId="2690FAB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条款名称</w:t>
            </w:r>
          </w:p>
        </w:tc>
        <w:tc>
          <w:tcPr>
            <w:tcW w:w="6096" w:type="dxa"/>
            <w:noWrap/>
            <w:vAlign w:val="center"/>
          </w:tcPr>
          <w:p w14:paraId="28598F33">
            <w:pPr>
              <w:ind w:left="-103" w:leftChars="-49" w:firstLine="562" w:firstLineChars="201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编列内容</w:t>
            </w:r>
          </w:p>
        </w:tc>
      </w:tr>
      <w:tr w14:paraId="6A81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5" w:type="dxa"/>
            <w:noWrap/>
            <w:vAlign w:val="center"/>
          </w:tcPr>
          <w:p w14:paraId="7B15D3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70" w:type="dxa"/>
            <w:noWrap/>
            <w:vAlign w:val="center"/>
          </w:tcPr>
          <w:p w14:paraId="3C24A16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</w:t>
            </w:r>
          </w:p>
          <w:p w14:paraId="168190D4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</w:p>
        </w:tc>
        <w:tc>
          <w:tcPr>
            <w:tcW w:w="6096" w:type="dxa"/>
            <w:noWrap/>
            <w:vAlign w:val="center"/>
          </w:tcPr>
          <w:p w14:paraId="37CDAF61">
            <w:pPr>
              <w:rPr>
                <w:rFonts w:hint="eastAsia" w:ascii="仿宋_GB2312" w:hAnsi="仿宋_GB2312" w:eastAsia="仿宋_GB2312" w:cs="仿宋_GB2312"/>
                <w:strike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6687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065" w:type="dxa"/>
            <w:noWrap/>
            <w:vAlign w:val="center"/>
          </w:tcPr>
          <w:p w14:paraId="614AC5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70" w:type="dxa"/>
            <w:noWrap/>
            <w:vAlign w:val="center"/>
          </w:tcPr>
          <w:p w14:paraId="4EB7254E">
            <w:pPr>
              <w:jc w:val="center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6096" w:type="dxa"/>
            <w:noWrap/>
            <w:vAlign w:val="center"/>
          </w:tcPr>
          <w:p w14:paraId="1519B977">
            <w:pPr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不组织。</w:t>
            </w:r>
          </w:p>
        </w:tc>
      </w:tr>
      <w:tr w14:paraId="1A70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65" w:type="dxa"/>
            <w:noWrap/>
            <w:vAlign w:val="center"/>
          </w:tcPr>
          <w:p w14:paraId="2321E3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70" w:type="dxa"/>
            <w:noWrap/>
            <w:vAlign w:val="center"/>
          </w:tcPr>
          <w:p w14:paraId="08F953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包</w:t>
            </w:r>
          </w:p>
        </w:tc>
        <w:tc>
          <w:tcPr>
            <w:tcW w:w="6096" w:type="dxa"/>
            <w:noWrap/>
            <w:vAlign w:val="center"/>
          </w:tcPr>
          <w:p w14:paraId="412E676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3F1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5" w:type="dxa"/>
            <w:noWrap/>
            <w:vAlign w:val="center"/>
          </w:tcPr>
          <w:p w14:paraId="44B921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70" w:type="dxa"/>
            <w:noWrap/>
            <w:vAlign w:val="center"/>
          </w:tcPr>
          <w:p w14:paraId="143C3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要求澄清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文件的时间</w:t>
            </w:r>
          </w:p>
        </w:tc>
        <w:tc>
          <w:tcPr>
            <w:tcW w:w="6096" w:type="dxa"/>
            <w:noWrap/>
            <w:vAlign w:val="center"/>
          </w:tcPr>
          <w:p w14:paraId="5890A9B2">
            <w:pP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时00分 。</w:t>
            </w:r>
          </w:p>
          <w:p w14:paraId="30BD4A7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1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5" w:type="dxa"/>
            <w:noWrap/>
            <w:vAlign w:val="center"/>
          </w:tcPr>
          <w:p w14:paraId="36FF03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70" w:type="dxa"/>
            <w:noWrap/>
            <w:vAlign w:val="center"/>
          </w:tcPr>
          <w:p w14:paraId="201F3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</w:t>
            </w:r>
          </w:p>
        </w:tc>
        <w:tc>
          <w:tcPr>
            <w:tcW w:w="6096" w:type="dxa"/>
            <w:noWrap/>
            <w:vAlign w:val="center"/>
          </w:tcPr>
          <w:p w14:paraId="43DCEA8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分。</w:t>
            </w:r>
          </w:p>
        </w:tc>
      </w:tr>
      <w:tr w14:paraId="0C55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5" w:type="dxa"/>
            <w:noWrap/>
            <w:vAlign w:val="center"/>
          </w:tcPr>
          <w:p w14:paraId="66EBF2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70" w:type="dxa"/>
            <w:noWrap/>
            <w:vAlign w:val="center"/>
          </w:tcPr>
          <w:p w14:paraId="14BEBC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时间、地点</w:t>
            </w:r>
          </w:p>
        </w:tc>
        <w:tc>
          <w:tcPr>
            <w:tcW w:w="6096" w:type="dxa"/>
            <w:noWrap/>
            <w:vAlign w:val="center"/>
          </w:tcPr>
          <w:p w14:paraId="0D04295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同比选截止时间，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比选文件递交地点（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岳阳邦盛实业有限公司2楼会议室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）。</w:t>
            </w:r>
          </w:p>
        </w:tc>
      </w:tr>
      <w:tr w14:paraId="0A77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65" w:type="dxa"/>
            <w:noWrap/>
            <w:vAlign w:val="center"/>
          </w:tcPr>
          <w:p w14:paraId="7ABCFA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015C8D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</w:t>
            </w:r>
          </w:p>
          <w:p w14:paraId="42834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</w:t>
            </w:r>
          </w:p>
          <w:p w14:paraId="7DB88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6096" w:type="dxa"/>
            <w:noWrap/>
            <w:vAlign w:val="center"/>
          </w:tcPr>
          <w:p w14:paraId="2B3FD1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4C0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5" w:type="dxa"/>
            <w:noWrap/>
            <w:vAlign w:val="center"/>
          </w:tcPr>
          <w:p w14:paraId="48B41D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054837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</w:t>
            </w:r>
          </w:p>
        </w:tc>
        <w:tc>
          <w:tcPr>
            <w:tcW w:w="6096" w:type="dxa"/>
            <w:noWrap/>
            <w:vAlign w:val="center"/>
          </w:tcPr>
          <w:p w14:paraId="11625A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4654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5" w:type="dxa"/>
            <w:noWrap/>
            <w:vAlign w:val="center"/>
          </w:tcPr>
          <w:p w14:paraId="6257A2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70" w:type="dxa"/>
            <w:noWrap/>
            <w:vAlign w:val="center"/>
          </w:tcPr>
          <w:p w14:paraId="10C646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6096" w:type="dxa"/>
            <w:noWrap/>
            <w:vAlign w:val="center"/>
          </w:tcPr>
          <w:p w14:paraId="4106C8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文件应当并加盖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的单位公章。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加盖的单位公章与其营业执照的单位名称应当一致。</w:t>
            </w:r>
          </w:p>
        </w:tc>
      </w:tr>
      <w:tr w14:paraId="3808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5" w:type="dxa"/>
            <w:noWrap/>
            <w:vAlign w:val="center"/>
          </w:tcPr>
          <w:p w14:paraId="15CB8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70" w:type="dxa"/>
            <w:noWrap/>
            <w:vAlign w:val="center"/>
          </w:tcPr>
          <w:p w14:paraId="6740C6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文件份数</w:t>
            </w:r>
          </w:p>
        </w:tc>
        <w:tc>
          <w:tcPr>
            <w:tcW w:w="6096" w:type="dxa"/>
            <w:noWrap/>
            <w:vAlign w:val="center"/>
          </w:tcPr>
          <w:p w14:paraId="1A295D2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单位在领取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通知书之前，需提供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文件用于备案。</w:t>
            </w:r>
          </w:p>
        </w:tc>
      </w:tr>
      <w:tr w14:paraId="01A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5" w:type="dxa"/>
            <w:noWrap/>
            <w:vAlign w:val="center"/>
          </w:tcPr>
          <w:p w14:paraId="69A769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70" w:type="dxa"/>
            <w:noWrap/>
            <w:vAlign w:val="center"/>
          </w:tcPr>
          <w:p w14:paraId="1A8BE8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装订要求</w:t>
            </w:r>
          </w:p>
        </w:tc>
        <w:tc>
          <w:tcPr>
            <w:tcW w:w="6096" w:type="dxa"/>
            <w:noWrap/>
            <w:vAlign w:val="center"/>
          </w:tcPr>
          <w:p w14:paraId="3D740E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文件袋密封并贴封条</w:t>
            </w:r>
          </w:p>
        </w:tc>
      </w:tr>
      <w:tr w14:paraId="30A7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noWrap/>
            <w:vAlign w:val="center"/>
          </w:tcPr>
          <w:p w14:paraId="689DCE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70" w:type="dxa"/>
            <w:noWrap/>
            <w:vAlign w:val="center"/>
          </w:tcPr>
          <w:p w14:paraId="2F31E8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</w:t>
            </w:r>
          </w:p>
        </w:tc>
        <w:tc>
          <w:tcPr>
            <w:tcW w:w="6096" w:type="dxa"/>
            <w:noWrap/>
            <w:vAlign w:val="center"/>
          </w:tcPr>
          <w:p w14:paraId="19129D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734C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5" w:type="dxa"/>
            <w:noWrap/>
            <w:vAlign w:val="center"/>
          </w:tcPr>
          <w:p w14:paraId="1A7540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70" w:type="dxa"/>
            <w:noWrap/>
            <w:vAlign w:val="center"/>
          </w:tcPr>
          <w:p w14:paraId="539A2F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比选小组的组建</w:t>
            </w:r>
          </w:p>
        </w:tc>
        <w:tc>
          <w:tcPr>
            <w:tcW w:w="6096" w:type="dxa"/>
            <w:noWrap/>
            <w:vAlign w:val="center"/>
          </w:tcPr>
          <w:p w14:paraId="3AFCDFF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比选小组成员在比选开始前1天，由公司比选领导小组审定。</w:t>
            </w:r>
          </w:p>
        </w:tc>
      </w:tr>
      <w:tr w14:paraId="6217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65" w:type="dxa"/>
            <w:noWrap/>
            <w:vAlign w:val="center"/>
          </w:tcPr>
          <w:p w14:paraId="5F4229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70" w:type="dxa"/>
            <w:noWrap/>
            <w:vAlign w:val="center"/>
          </w:tcPr>
          <w:p w14:paraId="01717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人方式</w:t>
            </w:r>
          </w:p>
        </w:tc>
        <w:tc>
          <w:tcPr>
            <w:tcW w:w="6096" w:type="dxa"/>
            <w:noWrap/>
            <w:vAlign w:val="center"/>
          </w:tcPr>
          <w:p w14:paraId="11CD2FD6"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本次比选按有效比选报价由低到高确定排序前三名为中选候选人，报价最低者为中选单位。</w:t>
            </w:r>
          </w:p>
        </w:tc>
      </w:tr>
      <w:tr w14:paraId="204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5" w:type="dxa"/>
            <w:noWrap/>
            <w:vAlign w:val="center"/>
          </w:tcPr>
          <w:p w14:paraId="48D715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70" w:type="dxa"/>
            <w:noWrap/>
            <w:vAlign w:val="center"/>
          </w:tcPr>
          <w:p w14:paraId="53FDE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6096" w:type="dxa"/>
            <w:noWrap/>
            <w:vAlign w:val="center"/>
          </w:tcPr>
          <w:p w14:paraId="72C5B54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否</w:t>
            </w:r>
          </w:p>
        </w:tc>
      </w:tr>
      <w:tr w14:paraId="658E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65" w:type="dxa"/>
            <w:noWrap/>
            <w:vAlign w:val="center"/>
          </w:tcPr>
          <w:p w14:paraId="3F991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70" w:type="dxa"/>
            <w:noWrap/>
            <w:vAlign w:val="center"/>
          </w:tcPr>
          <w:p w14:paraId="05214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6096" w:type="dxa"/>
            <w:noWrap/>
            <w:vAlign w:val="center"/>
          </w:tcPr>
          <w:p w14:paraId="30A3FB60">
            <w:pPr>
              <w:pStyle w:val="23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在满足比文件质量要求的前提下，各比选人结合市场行情及自身经营状况自行报价，报价格式见附件1。</w:t>
            </w:r>
          </w:p>
        </w:tc>
      </w:tr>
      <w:tr w14:paraId="487E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65" w:type="dxa"/>
            <w:noWrap/>
            <w:vAlign w:val="center"/>
          </w:tcPr>
          <w:p w14:paraId="120230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7582A4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</w:t>
            </w:r>
          </w:p>
        </w:tc>
        <w:tc>
          <w:tcPr>
            <w:tcW w:w="6096" w:type="dxa"/>
            <w:noWrap/>
            <w:vAlign w:val="center"/>
          </w:tcPr>
          <w:p w14:paraId="4795565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人官网公示，公示期3个工作日。</w:t>
            </w:r>
          </w:p>
        </w:tc>
      </w:tr>
      <w:tr w14:paraId="19D2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65" w:type="dxa"/>
            <w:noWrap/>
            <w:vAlign w:val="center"/>
          </w:tcPr>
          <w:p w14:paraId="2C6A76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65E8B8B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6096" w:type="dxa"/>
            <w:noWrap/>
            <w:vAlign w:val="center"/>
          </w:tcPr>
          <w:p w14:paraId="5DB3A1C4">
            <w:pP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本项目的比选比选活动接受邀选人、公司纪检及相关部门监督。</w:t>
            </w:r>
          </w:p>
        </w:tc>
      </w:tr>
      <w:tr w14:paraId="61F0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5" w:type="dxa"/>
            <w:noWrap/>
            <w:vAlign w:val="center"/>
          </w:tcPr>
          <w:p w14:paraId="4152CF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70" w:type="dxa"/>
            <w:noWrap/>
            <w:vAlign w:val="center"/>
          </w:tcPr>
          <w:p w14:paraId="1171F50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6096" w:type="dxa"/>
            <w:noWrap/>
            <w:vAlign w:val="center"/>
          </w:tcPr>
          <w:p w14:paraId="51CC901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人须自觉接受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人公司现行管理制度。</w:t>
            </w:r>
          </w:p>
        </w:tc>
      </w:tr>
    </w:tbl>
    <w:p w14:paraId="4ED70256"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53"/>
        <w:gridCol w:w="1497"/>
        <w:gridCol w:w="1296"/>
        <w:gridCol w:w="5672"/>
        <w:gridCol w:w="1874"/>
        <w:gridCol w:w="746"/>
      </w:tblGrid>
      <w:tr w14:paraId="780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22AE4D">
            <w:pPr>
              <w:pStyle w:val="13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附件1：综保区一期标准化厂房进行低压临时用电改造预算控制</w:t>
            </w:r>
          </w:p>
        </w:tc>
      </w:tr>
      <w:tr w14:paraId="7640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4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6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数量(个、幅)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比选控制价合计（元）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4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计费依据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7D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比选报价（元）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A2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3D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综保区一期标准化厂房鸿瑞科技公司临时用电整改项目</w:t>
            </w: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C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78869.57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18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1、鸿瑞科技公司临时用电整改项目预算审核报告书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73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09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BA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7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6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7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93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8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6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4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7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C907A0E">
            <w:pPr>
              <w:pStyle w:val="2"/>
              <w:rPr>
                <w:rFonts w:hint="eastAsia"/>
                <w:lang w:val="en-US" w:eastAsia="zh-CN"/>
              </w:rPr>
            </w:pPr>
          </w:p>
          <w:p w14:paraId="700369AB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E89A393">
      <w:pPr>
        <w:pStyle w:val="13"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9983487"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453630" cy="5271135"/>
            <wp:effectExtent l="0" t="0" r="13970" b="5715"/>
            <wp:docPr id="2" name="图片 2" descr="电力施工简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力施工简图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7453630" cy="5271135"/>
            <wp:effectExtent l="0" t="0" r="13970" b="5715"/>
            <wp:docPr id="3" name="图片 3" descr="施工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施工方案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7453630" cy="5271135"/>
            <wp:effectExtent l="0" t="0" r="13970" b="5715"/>
            <wp:docPr id="4" name="图片 4" descr="电柜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柜图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5B91"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137E78F8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91B60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12CDA7E"/>
    <w:multiLevelType w:val="singleLevel"/>
    <w:tmpl w:val="C12CDA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JlZWEwMTc1ZWE2OTkyMjZkNzRmYTU5MDlmODEifQ=="/>
  </w:docVars>
  <w:rsids>
    <w:rsidRoot w:val="00006E6E"/>
    <w:rsid w:val="00006E6E"/>
    <w:rsid w:val="00007A96"/>
    <w:rsid w:val="000228EE"/>
    <w:rsid w:val="00084775"/>
    <w:rsid w:val="00144400"/>
    <w:rsid w:val="001768B7"/>
    <w:rsid w:val="001B761B"/>
    <w:rsid w:val="00204AEB"/>
    <w:rsid w:val="002359E3"/>
    <w:rsid w:val="0025258F"/>
    <w:rsid w:val="00263B00"/>
    <w:rsid w:val="002837EC"/>
    <w:rsid w:val="002C2BD9"/>
    <w:rsid w:val="00334630"/>
    <w:rsid w:val="00370EAE"/>
    <w:rsid w:val="00371187"/>
    <w:rsid w:val="003944EE"/>
    <w:rsid w:val="004619D4"/>
    <w:rsid w:val="004641E8"/>
    <w:rsid w:val="004C33FB"/>
    <w:rsid w:val="00530A85"/>
    <w:rsid w:val="00580894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3406"/>
    <w:rsid w:val="007B62AE"/>
    <w:rsid w:val="007C487A"/>
    <w:rsid w:val="007D7D5F"/>
    <w:rsid w:val="007F27A9"/>
    <w:rsid w:val="00813252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7757B"/>
    <w:rsid w:val="00A31BD7"/>
    <w:rsid w:val="00A76F69"/>
    <w:rsid w:val="00A848ED"/>
    <w:rsid w:val="00AC3E98"/>
    <w:rsid w:val="00AE31A5"/>
    <w:rsid w:val="00AE7400"/>
    <w:rsid w:val="00B11247"/>
    <w:rsid w:val="00B54F71"/>
    <w:rsid w:val="00B96C39"/>
    <w:rsid w:val="00BA748E"/>
    <w:rsid w:val="00BD6561"/>
    <w:rsid w:val="00C0238A"/>
    <w:rsid w:val="00C1728E"/>
    <w:rsid w:val="00C50BC6"/>
    <w:rsid w:val="00C554ED"/>
    <w:rsid w:val="00C7165F"/>
    <w:rsid w:val="00CB1E3D"/>
    <w:rsid w:val="00CB5FB4"/>
    <w:rsid w:val="00D92805"/>
    <w:rsid w:val="00E274AD"/>
    <w:rsid w:val="00E34260"/>
    <w:rsid w:val="00E65349"/>
    <w:rsid w:val="00E84C92"/>
    <w:rsid w:val="00F961E7"/>
    <w:rsid w:val="00FF6B79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7BE0237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DBE326F"/>
    <w:rsid w:val="0FE35AFC"/>
    <w:rsid w:val="10213C41"/>
    <w:rsid w:val="10A968DF"/>
    <w:rsid w:val="11170996"/>
    <w:rsid w:val="1137024E"/>
    <w:rsid w:val="113B43A3"/>
    <w:rsid w:val="11731ED8"/>
    <w:rsid w:val="11B252DE"/>
    <w:rsid w:val="11F50B3F"/>
    <w:rsid w:val="123956DC"/>
    <w:rsid w:val="12A03E94"/>
    <w:rsid w:val="132427F6"/>
    <w:rsid w:val="133236CD"/>
    <w:rsid w:val="13402B15"/>
    <w:rsid w:val="150A3E4E"/>
    <w:rsid w:val="157524C8"/>
    <w:rsid w:val="1588601A"/>
    <w:rsid w:val="15D553E2"/>
    <w:rsid w:val="16E318AE"/>
    <w:rsid w:val="174C0B8F"/>
    <w:rsid w:val="17F67057"/>
    <w:rsid w:val="182D4A55"/>
    <w:rsid w:val="18383862"/>
    <w:rsid w:val="18FC4FF5"/>
    <w:rsid w:val="19397563"/>
    <w:rsid w:val="199D42C0"/>
    <w:rsid w:val="1A7263A2"/>
    <w:rsid w:val="1AA6431F"/>
    <w:rsid w:val="1B7426BE"/>
    <w:rsid w:val="1B99724D"/>
    <w:rsid w:val="1BE0456A"/>
    <w:rsid w:val="1BFF175F"/>
    <w:rsid w:val="1C323AB6"/>
    <w:rsid w:val="1C94535D"/>
    <w:rsid w:val="1CCC554A"/>
    <w:rsid w:val="1CD2619C"/>
    <w:rsid w:val="1D065DE4"/>
    <w:rsid w:val="1DB63DD9"/>
    <w:rsid w:val="1E7C3C70"/>
    <w:rsid w:val="1EB06B0E"/>
    <w:rsid w:val="1F42404B"/>
    <w:rsid w:val="1FF33198"/>
    <w:rsid w:val="20C32599"/>
    <w:rsid w:val="21302F42"/>
    <w:rsid w:val="2276005A"/>
    <w:rsid w:val="229465E7"/>
    <w:rsid w:val="231408CB"/>
    <w:rsid w:val="231F1C73"/>
    <w:rsid w:val="23215FE6"/>
    <w:rsid w:val="234A7A12"/>
    <w:rsid w:val="235C0EA9"/>
    <w:rsid w:val="235C5246"/>
    <w:rsid w:val="23B404CA"/>
    <w:rsid w:val="244D5B2D"/>
    <w:rsid w:val="24B174ED"/>
    <w:rsid w:val="25174EE8"/>
    <w:rsid w:val="25454344"/>
    <w:rsid w:val="255A38EE"/>
    <w:rsid w:val="258349AB"/>
    <w:rsid w:val="26096855"/>
    <w:rsid w:val="26A90211"/>
    <w:rsid w:val="27560E02"/>
    <w:rsid w:val="275F36AF"/>
    <w:rsid w:val="288051C8"/>
    <w:rsid w:val="28F84BEF"/>
    <w:rsid w:val="29850910"/>
    <w:rsid w:val="29DC4550"/>
    <w:rsid w:val="29EA5F5C"/>
    <w:rsid w:val="2B6449A8"/>
    <w:rsid w:val="2DC441A5"/>
    <w:rsid w:val="2DE22CBA"/>
    <w:rsid w:val="2E3778CE"/>
    <w:rsid w:val="2E946581"/>
    <w:rsid w:val="2F8D691A"/>
    <w:rsid w:val="2FB7085B"/>
    <w:rsid w:val="301D2352"/>
    <w:rsid w:val="31A85187"/>
    <w:rsid w:val="31F369F1"/>
    <w:rsid w:val="329C31F7"/>
    <w:rsid w:val="33DF0372"/>
    <w:rsid w:val="34C3222F"/>
    <w:rsid w:val="354102AC"/>
    <w:rsid w:val="3634645C"/>
    <w:rsid w:val="36D22E8B"/>
    <w:rsid w:val="36DE12F2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CEF4D8A"/>
    <w:rsid w:val="3D066D9E"/>
    <w:rsid w:val="3D826E7B"/>
    <w:rsid w:val="3E3A2DF3"/>
    <w:rsid w:val="3E646081"/>
    <w:rsid w:val="3EA90060"/>
    <w:rsid w:val="3F8E7D59"/>
    <w:rsid w:val="3FFC6C5C"/>
    <w:rsid w:val="4041460F"/>
    <w:rsid w:val="40BC08F6"/>
    <w:rsid w:val="40D47D63"/>
    <w:rsid w:val="421C1371"/>
    <w:rsid w:val="42366486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53001"/>
    <w:rsid w:val="467970EB"/>
    <w:rsid w:val="46A165C4"/>
    <w:rsid w:val="484C63BD"/>
    <w:rsid w:val="48967C7F"/>
    <w:rsid w:val="48FB44E7"/>
    <w:rsid w:val="493E07C0"/>
    <w:rsid w:val="49B65C97"/>
    <w:rsid w:val="49D071C0"/>
    <w:rsid w:val="4AB8212E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F3D5201"/>
    <w:rsid w:val="509D08A7"/>
    <w:rsid w:val="509E56C3"/>
    <w:rsid w:val="51295B34"/>
    <w:rsid w:val="514D6E70"/>
    <w:rsid w:val="52046804"/>
    <w:rsid w:val="520D1D08"/>
    <w:rsid w:val="52710B4D"/>
    <w:rsid w:val="52C12D97"/>
    <w:rsid w:val="52F105E1"/>
    <w:rsid w:val="534267A3"/>
    <w:rsid w:val="54CA318A"/>
    <w:rsid w:val="54FD143C"/>
    <w:rsid w:val="556F1128"/>
    <w:rsid w:val="55E3094A"/>
    <w:rsid w:val="56064246"/>
    <w:rsid w:val="566158BA"/>
    <w:rsid w:val="56E963EC"/>
    <w:rsid w:val="571B5F1F"/>
    <w:rsid w:val="577A64C4"/>
    <w:rsid w:val="585C553F"/>
    <w:rsid w:val="586079EA"/>
    <w:rsid w:val="592D0530"/>
    <w:rsid w:val="5951662F"/>
    <w:rsid w:val="597933D0"/>
    <w:rsid w:val="59D94E1E"/>
    <w:rsid w:val="5A144EA7"/>
    <w:rsid w:val="5A2E22DF"/>
    <w:rsid w:val="5A8F3EA5"/>
    <w:rsid w:val="5AB95D5F"/>
    <w:rsid w:val="5AEE4062"/>
    <w:rsid w:val="5BBB71F8"/>
    <w:rsid w:val="5BFF7943"/>
    <w:rsid w:val="5C2A1931"/>
    <w:rsid w:val="5D2A2723"/>
    <w:rsid w:val="5D913727"/>
    <w:rsid w:val="5D9378AF"/>
    <w:rsid w:val="5E56345B"/>
    <w:rsid w:val="5E723E03"/>
    <w:rsid w:val="5EAD47D3"/>
    <w:rsid w:val="5F001A99"/>
    <w:rsid w:val="5F40549A"/>
    <w:rsid w:val="5FA45F8C"/>
    <w:rsid w:val="5FB05672"/>
    <w:rsid w:val="600F0DE2"/>
    <w:rsid w:val="60653934"/>
    <w:rsid w:val="60662662"/>
    <w:rsid w:val="60681C3E"/>
    <w:rsid w:val="61097F16"/>
    <w:rsid w:val="61270118"/>
    <w:rsid w:val="61D83CDA"/>
    <w:rsid w:val="62024F9D"/>
    <w:rsid w:val="62382A94"/>
    <w:rsid w:val="62AA5185"/>
    <w:rsid w:val="62AF064C"/>
    <w:rsid w:val="62EC531D"/>
    <w:rsid w:val="63051755"/>
    <w:rsid w:val="63395EC8"/>
    <w:rsid w:val="64D24135"/>
    <w:rsid w:val="64D86611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CCA459E"/>
    <w:rsid w:val="6D4D41F1"/>
    <w:rsid w:val="6D64761C"/>
    <w:rsid w:val="6D77332B"/>
    <w:rsid w:val="6E5B0FDB"/>
    <w:rsid w:val="6E796B95"/>
    <w:rsid w:val="6EF75561"/>
    <w:rsid w:val="70701DBA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85257C"/>
    <w:rsid w:val="739C5A33"/>
    <w:rsid w:val="73A31396"/>
    <w:rsid w:val="740D3402"/>
    <w:rsid w:val="753D071E"/>
    <w:rsid w:val="75563E74"/>
    <w:rsid w:val="756B086D"/>
    <w:rsid w:val="75965B80"/>
    <w:rsid w:val="75D27282"/>
    <w:rsid w:val="769144C5"/>
    <w:rsid w:val="76920E28"/>
    <w:rsid w:val="78135765"/>
    <w:rsid w:val="78BF39FA"/>
    <w:rsid w:val="7956543B"/>
    <w:rsid w:val="79872351"/>
    <w:rsid w:val="79A921F0"/>
    <w:rsid w:val="7A4C3816"/>
    <w:rsid w:val="7B0501C8"/>
    <w:rsid w:val="7B1F0BD1"/>
    <w:rsid w:val="7B210707"/>
    <w:rsid w:val="7B492577"/>
    <w:rsid w:val="7CE45A5C"/>
    <w:rsid w:val="7D082F5D"/>
    <w:rsid w:val="7D5B5ADD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7"/>
    <w:semiHidden/>
    <w:unhideWhenUsed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</w:rPr>
  </w:style>
  <w:style w:type="paragraph" w:styleId="3">
    <w:name w:val="endnote text"/>
    <w:basedOn w:val="1"/>
    <w:autoRedefine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7">
    <w:name w:val="Body Text"/>
    <w:basedOn w:val="1"/>
    <w:next w:val="1"/>
    <w:autoRedefine/>
    <w:qFormat/>
    <w:uiPriority w:val="0"/>
  </w:style>
  <w:style w:type="paragraph" w:styleId="8">
    <w:name w:val="Plain Text"/>
    <w:basedOn w:val="1"/>
    <w:link w:val="25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spacing w:before="200" w:after="200"/>
      <w:jc w:val="center"/>
    </w:pPr>
    <w:rPr>
      <w:rFonts w:ascii="Cambria" w:hAnsi="Cambria"/>
      <w:b/>
      <w:bCs/>
      <w:sz w:val="44"/>
      <w:szCs w:val="32"/>
    </w:rPr>
  </w:style>
  <w:style w:type="paragraph" w:styleId="13">
    <w:name w:val="Body Text First Indent"/>
    <w:basedOn w:val="7"/>
    <w:autoRedefine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qFormat/>
    <w:uiPriority w:val="99"/>
    <w:rPr>
      <w:sz w:val="18"/>
      <w:szCs w:val="18"/>
    </w:rPr>
  </w:style>
  <w:style w:type="paragraph" w:customStyle="1" w:styleId="20">
    <w:name w:val="BodyText1I"/>
    <w:basedOn w:val="21"/>
    <w:autoRedefine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21">
    <w:name w:val="BodyText"/>
    <w:basedOn w:val="1"/>
    <w:autoRedefine/>
    <w:qFormat/>
    <w:uiPriority w:val="0"/>
    <w:pPr>
      <w:spacing w:after="1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szCs w:val="21"/>
    </w:rPr>
  </w:style>
  <w:style w:type="paragraph" w:styleId="2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4">
    <w:name w:val="标题 2 Char"/>
    <w:basedOn w:val="16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纯文本 Char"/>
    <w:basedOn w:val="16"/>
    <w:link w:val="8"/>
    <w:autoRedefine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6">
    <w:name w:val="table"/>
    <w:autoRedefine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7">
    <w:name w:val="标题 3 Char"/>
    <w:link w:val="6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1560</Words>
  <Characters>1731</Characters>
  <Lines>0</Lines>
  <Paragraphs>0</Paragraphs>
  <TotalTime>20</TotalTime>
  <ScaleCrop>false</ScaleCrop>
  <LinksUpToDate>false</LinksUpToDate>
  <CharactersWithSpaces>1765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2023-08-01T01:12:00Z</dcterms:created>
  <dc:creator>lenovo</dc:creator>
  <cp:lastModifiedBy>咖喱鱼蛋</cp:lastModifiedBy>
  <cp:lastPrinted>2023-08-01T01:47:00Z</cp:lastPrinted>
  <dcterms:modified xsi:type="dcterms:W3CDTF">2024-09-12T04:05:10Z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BE5D3007BFF64FEE82205C6324392619_13</vt:lpwstr>
  </property>
</Properties>
</file>