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289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比选结果公示</w:t>
      </w:r>
    </w:p>
    <w:p w14:paraId="71B6D2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邦盛三宗地块物业服务单位招标项目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公开比选，已于2025年6月9日在岳阳邦盛实业有限公司2楼会议室进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行。比选办法采用“综合比选方式”，本次比选小组由兴盛公司、财务部、纪委监察部人员组成。比选候选人公示如下：</w:t>
      </w:r>
    </w:p>
    <w:tbl>
      <w:tblPr>
        <w:tblStyle w:val="5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4060"/>
        <w:gridCol w:w="1651"/>
        <w:gridCol w:w="1651"/>
      </w:tblGrid>
      <w:tr w14:paraId="40E9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B940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候选人排序</w:t>
            </w:r>
          </w:p>
        </w:tc>
        <w:tc>
          <w:tcPr>
            <w:tcW w:w="4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DFD5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候选人名称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5CDF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报价/元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4770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综合评分</w:t>
            </w:r>
          </w:p>
        </w:tc>
      </w:tr>
      <w:tr w14:paraId="7F8C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61B4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第一名</w:t>
            </w:r>
          </w:p>
        </w:tc>
        <w:tc>
          <w:tcPr>
            <w:tcW w:w="4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50A3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岳阳鸿程物业管理有限公司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A692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338000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9BA3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93.29</w:t>
            </w:r>
          </w:p>
        </w:tc>
      </w:tr>
      <w:tr w14:paraId="0CA0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00AA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第二名</w:t>
            </w:r>
          </w:p>
        </w:tc>
        <w:tc>
          <w:tcPr>
            <w:tcW w:w="4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6939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岳阳祥顺物业管理有限公司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1BA5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353000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A089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92.71</w:t>
            </w:r>
          </w:p>
        </w:tc>
      </w:tr>
      <w:tr w14:paraId="1876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823E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第三名</w:t>
            </w:r>
          </w:p>
        </w:tc>
        <w:tc>
          <w:tcPr>
            <w:tcW w:w="4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6526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岳阳市湘诚国恒物业管理服务有限公司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2441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295800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59ED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84.81</w:t>
            </w:r>
          </w:p>
        </w:tc>
      </w:tr>
      <w:tr w14:paraId="3764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0AAF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第四名</w:t>
            </w:r>
          </w:p>
        </w:tc>
        <w:tc>
          <w:tcPr>
            <w:tcW w:w="4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971F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湖南恒心物业管理有限公司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2911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366047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145C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84.06</w:t>
            </w:r>
          </w:p>
        </w:tc>
      </w:tr>
    </w:tbl>
    <w:p w14:paraId="72327F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公示周期自发布次日起3日，公示期间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邀选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人受理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人或者其他利害关系人对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结果提出的异议。公示期满对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候选人若无异议，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邀选人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将确定第一中标候选人为该项目的中标人。</w:t>
      </w:r>
    </w:p>
    <w:p w14:paraId="534FAC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2F0ED0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right="0" w:firstLine="930" w:firstLineChars="3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邀选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人：岳阳综保区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兴盛综合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服务有限公司</w:t>
      </w:r>
    </w:p>
    <w:p w14:paraId="3CBD39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righ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监督电话：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0730-3061518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 xml:space="preserve">  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zJlZWEwMTc1ZWE2OTkyMjZkNzRmYTU5MDlmODEifQ=="/>
  </w:docVars>
  <w:rsids>
    <w:rsidRoot w:val="00000000"/>
    <w:rsid w:val="0402708F"/>
    <w:rsid w:val="046144A4"/>
    <w:rsid w:val="054378A1"/>
    <w:rsid w:val="0DFB0A28"/>
    <w:rsid w:val="0E715771"/>
    <w:rsid w:val="109B7D11"/>
    <w:rsid w:val="36E715E5"/>
    <w:rsid w:val="38AF3DA2"/>
    <w:rsid w:val="510A248C"/>
    <w:rsid w:val="535C13FD"/>
    <w:rsid w:val="53A74AAE"/>
    <w:rsid w:val="636C188E"/>
    <w:rsid w:val="70AC4B50"/>
    <w:rsid w:val="78C7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307</Characters>
  <Lines>0</Lines>
  <Paragraphs>0</Paragraphs>
  <TotalTime>23</TotalTime>
  <ScaleCrop>false</ScaleCrop>
  <LinksUpToDate>false</LinksUpToDate>
  <CharactersWithSpaces>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2023-07-24T06:42:00Z</dcterms:created>
  <dc:creator>LENOVO</dc:creator>
  <cp:lastModifiedBy>咖喱鱼蛋</cp:lastModifiedBy>
  <cp:lastPrinted>2024-09-20T02:09:00Z</cp:lastPrinted>
  <dcterms:modified xsi:type="dcterms:W3CDTF">2025-06-19T01:07:15Z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6417228860BC4622B2B78A186BDB6C45_13</vt:lpwstr>
  </property>
  <property fmtid="{D5CDD505-2E9C-101B-9397-08002B2CF9AE}" pid="4" name="KSOTemplateDocerSaveRecord">
    <vt:lpwstr>eyJoZGlkIjoiMDY2NzJlZWEwMTc1ZWE2OTkyMjZkNzRmYTU5MDlmODEiLCJ1c2VySWQiOiI0ODQ1OTUyMzIifQ==</vt:lpwstr>
  </property>
</Properties>
</file>